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54" w:rsidRDefault="00896A54" w:rsidP="00896A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896A54">
        <w:rPr>
          <w:rFonts w:ascii="Times New Roman" w:hAnsi="Times New Roman" w:cs="Times New Roman"/>
          <w:sz w:val="24"/>
          <w:szCs w:val="24"/>
        </w:rPr>
        <w:t>тверждено</w:t>
      </w:r>
    </w:p>
    <w:p w:rsidR="00896A54" w:rsidRDefault="00896A54" w:rsidP="00896A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 Приказом</w:t>
      </w:r>
      <w:r>
        <w:rPr>
          <w:rFonts w:ascii="Times New Roman" w:hAnsi="Times New Roman" w:cs="Times New Roman"/>
          <w:sz w:val="24"/>
          <w:szCs w:val="24"/>
        </w:rPr>
        <w:t xml:space="preserve"> директора</w:t>
      </w:r>
    </w:p>
    <w:p w:rsidR="00896A54" w:rsidRDefault="00896A54" w:rsidP="00896A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ФГБУ «Национальный парк </w:t>
      </w:r>
    </w:p>
    <w:p w:rsidR="00896A54" w:rsidRPr="00896A54" w:rsidRDefault="00896A54" w:rsidP="00896A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40E2F">
        <w:rPr>
          <w:rFonts w:ascii="Times New Roman" w:hAnsi="Times New Roman" w:cs="Times New Roman"/>
          <w:sz w:val="24"/>
          <w:szCs w:val="24"/>
        </w:rPr>
        <w:t>Паанаярви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96A54">
        <w:rPr>
          <w:rFonts w:ascii="Times New Roman" w:hAnsi="Times New Roman" w:cs="Times New Roman"/>
          <w:sz w:val="24"/>
          <w:szCs w:val="24"/>
        </w:rPr>
        <w:t xml:space="preserve"> № от</w:t>
      </w:r>
    </w:p>
    <w:p w:rsidR="00896A54" w:rsidRPr="00896A54" w:rsidRDefault="00896A54" w:rsidP="00896A54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6A54" w:rsidRDefault="00896A54" w:rsidP="00896A54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896A54" w:rsidRDefault="00896A54" w:rsidP="00896A54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ПО ОРГАНИЗАЦИИ ЭКОЛОГО-ПРОСВЕТИТЕЛЬСКОЙ ДЕЯТЕЛЬНОСТИ</w:t>
      </w:r>
    </w:p>
    <w:p w:rsidR="00896A54" w:rsidRDefault="00896A54" w:rsidP="00896A54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ФЕДЕРАЛЬН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896A54">
        <w:rPr>
          <w:rFonts w:ascii="Times New Roman" w:hAnsi="Times New Roman" w:cs="Times New Roman"/>
          <w:b/>
          <w:bCs/>
          <w:sz w:val="24"/>
          <w:szCs w:val="24"/>
        </w:rPr>
        <w:t xml:space="preserve"> ГОСУДАРСТВЕНН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896A54">
        <w:rPr>
          <w:rFonts w:ascii="Times New Roman" w:hAnsi="Times New Roman" w:cs="Times New Roman"/>
          <w:b/>
          <w:bCs/>
          <w:sz w:val="24"/>
          <w:szCs w:val="24"/>
        </w:rPr>
        <w:t xml:space="preserve"> БЮДЖЕТН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896A54">
        <w:rPr>
          <w:rFonts w:ascii="Times New Roman" w:hAnsi="Times New Roman" w:cs="Times New Roman"/>
          <w:b/>
          <w:bCs/>
          <w:sz w:val="24"/>
          <w:szCs w:val="24"/>
        </w:rPr>
        <w:t xml:space="preserve"> УЧРЕЖДЕНИЯ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«НАЦИОНАЛЬНЫЙ ПАРК «ПААНАЯРВИ»</w:t>
      </w:r>
    </w:p>
    <w:p w:rsidR="00896A54" w:rsidRDefault="00896A54" w:rsidP="00896A54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96A54" w:rsidRDefault="00896A54" w:rsidP="00896A54">
      <w:pPr>
        <w:pStyle w:val="ConsPlusNormal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0"/>
      <w:bookmarkEnd w:id="0"/>
      <w:r w:rsidRPr="00896A54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896A54" w:rsidRPr="00896A54" w:rsidRDefault="00896A54" w:rsidP="00896A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A76FC" w:rsidRDefault="00840E2F" w:rsidP="005424AB">
      <w:pPr>
        <w:pStyle w:val="a3"/>
        <w:numPr>
          <w:ilvl w:val="1"/>
          <w:numId w:val="1"/>
        </w:numPr>
        <w:spacing w:before="160"/>
        <w:ind w:left="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A76FC">
        <w:rPr>
          <w:rFonts w:ascii="Times New Roman" w:hAnsi="Times New Roman" w:cs="Times New Roman"/>
          <w:sz w:val="24"/>
          <w:szCs w:val="24"/>
        </w:rPr>
        <w:t>Положение</w:t>
      </w:r>
      <w:r w:rsidR="00896A54" w:rsidRPr="004A76FC">
        <w:rPr>
          <w:rFonts w:ascii="Times New Roman" w:hAnsi="Times New Roman" w:cs="Times New Roman"/>
          <w:sz w:val="24"/>
          <w:szCs w:val="24"/>
        </w:rPr>
        <w:t xml:space="preserve"> по организации эколого-просветительской деятельности </w:t>
      </w:r>
      <w:r w:rsidRPr="004A76FC">
        <w:rPr>
          <w:rFonts w:ascii="Times New Roman" w:hAnsi="Times New Roman" w:cs="Times New Roman"/>
          <w:sz w:val="24"/>
          <w:szCs w:val="24"/>
        </w:rPr>
        <w:t xml:space="preserve">разработано </w:t>
      </w:r>
      <w:r w:rsidR="00F8681F" w:rsidRPr="004A76FC">
        <w:rPr>
          <w:rFonts w:ascii="Times New Roman" w:hAnsi="Times New Roman" w:cs="Times New Roman"/>
          <w:sz w:val="24"/>
          <w:szCs w:val="24"/>
        </w:rPr>
        <w:t xml:space="preserve">в целях структурирования, повышения уровня  и качества </w:t>
      </w:r>
      <w:r w:rsidR="005424AB" w:rsidRPr="004A76FC">
        <w:rPr>
          <w:rFonts w:ascii="Times New Roman" w:hAnsi="Times New Roman" w:cs="Times New Roman"/>
          <w:sz w:val="24"/>
          <w:szCs w:val="24"/>
        </w:rPr>
        <w:t xml:space="preserve">выполняемых </w:t>
      </w:r>
      <w:r w:rsidR="00F8681F" w:rsidRPr="004A76FC">
        <w:rPr>
          <w:rFonts w:ascii="Times New Roman" w:hAnsi="Times New Roman" w:cs="Times New Roman"/>
          <w:sz w:val="24"/>
          <w:szCs w:val="24"/>
        </w:rPr>
        <w:t xml:space="preserve">работ </w:t>
      </w:r>
      <w:r w:rsidR="005424AB" w:rsidRPr="004A76FC">
        <w:rPr>
          <w:rFonts w:ascii="Times New Roman" w:hAnsi="Times New Roman" w:cs="Times New Roman"/>
          <w:sz w:val="24"/>
          <w:szCs w:val="24"/>
        </w:rPr>
        <w:t>Федерального государственного бюджетного учреждения «</w:t>
      </w:r>
      <w:proofErr w:type="gramStart"/>
      <w:r w:rsidR="005424AB" w:rsidRPr="004A76FC">
        <w:rPr>
          <w:rFonts w:ascii="Times New Roman" w:hAnsi="Times New Roman" w:cs="Times New Roman"/>
          <w:sz w:val="24"/>
          <w:szCs w:val="24"/>
        </w:rPr>
        <w:t>Национальный</w:t>
      </w:r>
      <w:proofErr w:type="gramEnd"/>
      <w:r w:rsidR="005424AB" w:rsidRPr="004A76FC">
        <w:rPr>
          <w:rFonts w:ascii="Times New Roman" w:hAnsi="Times New Roman" w:cs="Times New Roman"/>
          <w:sz w:val="24"/>
          <w:szCs w:val="24"/>
        </w:rPr>
        <w:t xml:space="preserve"> парк «Паанаярви» (далее – Учреждение).</w:t>
      </w:r>
    </w:p>
    <w:p w:rsidR="004A76FC" w:rsidRPr="004A76FC" w:rsidRDefault="005424AB" w:rsidP="005424AB">
      <w:pPr>
        <w:pStyle w:val="a3"/>
        <w:numPr>
          <w:ilvl w:val="1"/>
          <w:numId w:val="1"/>
        </w:numPr>
        <w:spacing w:before="160"/>
        <w:ind w:left="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A76FC">
        <w:rPr>
          <w:rFonts w:ascii="Times New Roman" w:hAnsi="Times New Roman" w:cs="Times New Roman"/>
          <w:sz w:val="24"/>
          <w:szCs w:val="24"/>
        </w:rPr>
        <w:t>Положение разработано на основе методических рекомендаций, утвержденных распоряжением министра природных ресурсов и экологии РФ от 22 декабря 2020 года № 37-р</w:t>
      </w:r>
      <w:r w:rsidR="004A76FC" w:rsidRPr="004A76FC">
        <w:rPr>
          <w:rFonts w:ascii="Times New Roman" w:hAnsi="Times New Roman" w:cs="Times New Roman"/>
          <w:sz w:val="24"/>
          <w:szCs w:val="24"/>
        </w:rPr>
        <w:t>.</w:t>
      </w:r>
    </w:p>
    <w:p w:rsidR="00896A54" w:rsidRPr="004A76FC" w:rsidRDefault="00896A54" w:rsidP="005424AB">
      <w:pPr>
        <w:pStyle w:val="ConsPlusNormal"/>
        <w:numPr>
          <w:ilvl w:val="1"/>
          <w:numId w:val="1"/>
        </w:numPr>
        <w:spacing w:before="160"/>
        <w:ind w:left="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A76FC">
        <w:rPr>
          <w:rFonts w:ascii="Times New Roman" w:hAnsi="Times New Roman" w:cs="Times New Roman"/>
          <w:sz w:val="24"/>
          <w:szCs w:val="24"/>
        </w:rPr>
        <w:t>Основными документами, регулирующими вопросы организации эколого-просветительской деятельности на особо охраняемых природных территориях (далее - ООПТ), являются: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color w:val="0000FF"/>
          <w:sz w:val="24"/>
          <w:szCs w:val="24"/>
        </w:rPr>
        <w:t>Конституция</w:t>
      </w:r>
      <w:r w:rsidRPr="00896A54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r w:rsidRPr="00896A54">
        <w:rPr>
          <w:rFonts w:ascii="Times New Roman" w:hAnsi="Times New Roman" w:cs="Times New Roman"/>
          <w:color w:val="0000FF"/>
          <w:sz w:val="24"/>
          <w:szCs w:val="24"/>
        </w:rPr>
        <w:t>закон</w:t>
      </w:r>
      <w:r w:rsidRPr="00896A54">
        <w:rPr>
          <w:rFonts w:ascii="Times New Roman" w:hAnsi="Times New Roman" w:cs="Times New Roman"/>
          <w:sz w:val="24"/>
          <w:szCs w:val="24"/>
        </w:rPr>
        <w:t xml:space="preserve"> от 14.03.1995 N 33-ФЗ "Об особо охраняемых природных территориях";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r w:rsidRPr="00896A54">
        <w:rPr>
          <w:rFonts w:ascii="Times New Roman" w:hAnsi="Times New Roman" w:cs="Times New Roman"/>
          <w:color w:val="0000FF"/>
          <w:sz w:val="24"/>
          <w:szCs w:val="24"/>
        </w:rPr>
        <w:t>закон</w:t>
      </w:r>
      <w:r w:rsidRPr="00896A54">
        <w:rPr>
          <w:rFonts w:ascii="Times New Roman" w:hAnsi="Times New Roman" w:cs="Times New Roman"/>
          <w:sz w:val="24"/>
          <w:szCs w:val="24"/>
        </w:rPr>
        <w:t xml:space="preserve"> от 10.01.2002 N 7-ФЗ "Об охране окружающей среды";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r w:rsidRPr="00896A54">
        <w:rPr>
          <w:rFonts w:ascii="Times New Roman" w:hAnsi="Times New Roman" w:cs="Times New Roman"/>
          <w:color w:val="0000FF"/>
          <w:sz w:val="24"/>
          <w:szCs w:val="24"/>
        </w:rPr>
        <w:t>закон</w:t>
      </w:r>
      <w:r w:rsidRPr="00896A54">
        <w:rPr>
          <w:rFonts w:ascii="Times New Roman" w:hAnsi="Times New Roman" w:cs="Times New Roman"/>
          <w:sz w:val="24"/>
          <w:szCs w:val="24"/>
        </w:rPr>
        <w:t xml:space="preserve"> от 24.04.1995 N 52-ФЗ "О животном мире";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r w:rsidRPr="00896A54">
        <w:rPr>
          <w:rFonts w:ascii="Times New Roman" w:hAnsi="Times New Roman" w:cs="Times New Roman"/>
          <w:color w:val="0000FF"/>
          <w:sz w:val="24"/>
          <w:szCs w:val="24"/>
        </w:rPr>
        <w:t>закон</w:t>
      </w:r>
      <w:r w:rsidRPr="00896A54">
        <w:rPr>
          <w:rFonts w:ascii="Times New Roman" w:hAnsi="Times New Roman" w:cs="Times New Roman"/>
          <w:sz w:val="24"/>
          <w:szCs w:val="24"/>
        </w:rPr>
        <w:t xml:space="preserve"> от 11.08.1995 N 135-ФЗ "О благотворительной деятельности и добровольчестве (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волонтерстве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)";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r w:rsidRPr="00896A54">
        <w:rPr>
          <w:rFonts w:ascii="Times New Roman" w:hAnsi="Times New Roman" w:cs="Times New Roman"/>
          <w:color w:val="0000FF"/>
          <w:sz w:val="24"/>
          <w:szCs w:val="24"/>
        </w:rPr>
        <w:t>закон</w:t>
      </w:r>
      <w:r w:rsidRPr="00896A54">
        <w:rPr>
          <w:rFonts w:ascii="Times New Roman" w:hAnsi="Times New Roman" w:cs="Times New Roman"/>
          <w:sz w:val="24"/>
          <w:szCs w:val="24"/>
        </w:rPr>
        <w:t xml:space="preserve"> от 24.11.1996 N 132-ФЗ "Об основах туристской деятельности в Российской Федерации";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r w:rsidRPr="00896A54">
        <w:rPr>
          <w:rFonts w:ascii="Times New Roman" w:hAnsi="Times New Roman" w:cs="Times New Roman"/>
          <w:color w:val="0000FF"/>
          <w:sz w:val="24"/>
          <w:szCs w:val="24"/>
        </w:rPr>
        <w:t>закон</w:t>
      </w:r>
      <w:r w:rsidRPr="00896A54">
        <w:rPr>
          <w:rFonts w:ascii="Times New Roman" w:hAnsi="Times New Roman" w:cs="Times New Roman"/>
          <w:sz w:val="24"/>
          <w:szCs w:val="24"/>
        </w:rPr>
        <w:t xml:space="preserve"> от 26.05.1996 N 54-ФЗ "О Музейном фонде Российской Федерации и музеях в Российской Федерации";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color w:val="0000FF"/>
          <w:sz w:val="24"/>
          <w:szCs w:val="24"/>
        </w:rPr>
        <w:t>Основы</w:t>
      </w:r>
      <w:r w:rsidRPr="00896A54">
        <w:rPr>
          <w:rFonts w:ascii="Times New Roman" w:hAnsi="Times New Roman" w:cs="Times New Roman"/>
          <w:sz w:val="24"/>
          <w:szCs w:val="24"/>
        </w:rPr>
        <w:t xml:space="preserve"> государственной политики в области экологического развития Российской Федерации на период до 2030 года, утвержденные Президентом Российской Федерации от 30.04.2012;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color w:val="0000FF"/>
          <w:sz w:val="24"/>
          <w:szCs w:val="24"/>
        </w:rPr>
        <w:t>Концепция</w:t>
      </w:r>
      <w:r w:rsidRPr="00896A54">
        <w:rPr>
          <w:rFonts w:ascii="Times New Roman" w:hAnsi="Times New Roman" w:cs="Times New Roman"/>
          <w:sz w:val="24"/>
          <w:szCs w:val="24"/>
        </w:rPr>
        <w:t xml:space="preserve"> развития системы особо охраняемых природных территорий федерального значения на период до 2020 года, утвержденная распоряжением Правительства Российской Федерации от 22.12.2011 N 2322-р;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color w:val="0000FF"/>
          <w:sz w:val="24"/>
          <w:szCs w:val="24"/>
        </w:rPr>
        <w:t>Основы</w:t>
      </w:r>
      <w:r w:rsidRPr="00896A54">
        <w:rPr>
          <w:rFonts w:ascii="Times New Roman" w:hAnsi="Times New Roman" w:cs="Times New Roman"/>
          <w:sz w:val="24"/>
          <w:szCs w:val="24"/>
        </w:rPr>
        <w:t xml:space="preserve"> государственной молодежной политики Российской Федерации на период до 2025 года, утвержденные распоряжением Правительства Российской Федерации от 29.11.2014 N 2403-р;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color w:val="0000FF"/>
          <w:sz w:val="24"/>
          <w:szCs w:val="24"/>
        </w:rPr>
        <w:t>Основы</w:t>
      </w:r>
      <w:r w:rsidRPr="00896A54">
        <w:rPr>
          <w:rFonts w:ascii="Times New Roman" w:hAnsi="Times New Roman" w:cs="Times New Roman"/>
          <w:sz w:val="24"/>
          <w:szCs w:val="24"/>
        </w:rPr>
        <w:t xml:space="preserve"> государственной культурной политики, утвержденные Указом Президента Российской Федерации от 24.12.2014 N 808;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color w:val="0000FF"/>
          <w:sz w:val="24"/>
          <w:szCs w:val="24"/>
        </w:rPr>
        <w:t>Стратегия</w:t>
      </w:r>
      <w:r w:rsidRPr="00896A54">
        <w:rPr>
          <w:rFonts w:ascii="Times New Roman" w:hAnsi="Times New Roman" w:cs="Times New Roman"/>
          <w:sz w:val="24"/>
          <w:szCs w:val="24"/>
        </w:rPr>
        <w:t xml:space="preserve"> развития информационного общества в Российской Федерации на 2017 - 2030 годы, утвержденная Указом Президента Российской Федерации от 09.05.2017 N 203;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color w:val="0000FF"/>
          <w:sz w:val="24"/>
          <w:szCs w:val="24"/>
        </w:rPr>
        <w:t xml:space="preserve">ГОСТ </w:t>
      </w:r>
      <w:proofErr w:type="gramStart"/>
      <w:r w:rsidRPr="00896A54">
        <w:rPr>
          <w:rFonts w:ascii="Times New Roman" w:hAnsi="Times New Roman" w:cs="Times New Roman"/>
          <w:color w:val="0000FF"/>
          <w:sz w:val="24"/>
          <w:szCs w:val="24"/>
        </w:rPr>
        <w:t>Р</w:t>
      </w:r>
      <w:proofErr w:type="gramEnd"/>
      <w:r w:rsidRPr="00896A54">
        <w:rPr>
          <w:rFonts w:ascii="Times New Roman" w:hAnsi="Times New Roman" w:cs="Times New Roman"/>
          <w:color w:val="0000FF"/>
          <w:sz w:val="24"/>
          <w:szCs w:val="24"/>
        </w:rPr>
        <w:t xml:space="preserve"> 56642-2015</w:t>
      </w:r>
      <w:r w:rsidRPr="00896A54">
        <w:rPr>
          <w:rFonts w:ascii="Times New Roman" w:hAnsi="Times New Roman" w:cs="Times New Roman"/>
          <w:sz w:val="24"/>
          <w:szCs w:val="24"/>
        </w:rPr>
        <w:t xml:space="preserve"> Туристские услуги. Экологический туризм. Общие требования;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color w:val="0000FF"/>
          <w:sz w:val="24"/>
          <w:szCs w:val="24"/>
        </w:rPr>
        <w:t xml:space="preserve">ГОСТ </w:t>
      </w:r>
      <w:proofErr w:type="gramStart"/>
      <w:r w:rsidRPr="00896A54">
        <w:rPr>
          <w:rFonts w:ascii="Times New Roman" w:hAnsi="Times New Roman" w:cs="Times New Roman"/>
          <w:color w:val="0000FF"/>
          <w:sz w:val="24"/>
          <w:szCs w:val="24"/>
        </w:rPr>
        <w:t>Р</w:t>
      </w:r>
      <w:proofErr w:type="gramEnd"/>
      <w:r w:rsidRPr="00896A54">
        <w:rPr>
          <w:rFonts w:ascii="Times New Roman" w:hAnsi="Times New Roman" w:cs="Times New Roman"/>
          <w:color w:val="0000FF"/>
          <w:sz w:val="24"/>
          <w:szCs w:val="24"/>
        </w:rPr>
        <w:t xml:space="preserve"> 54604-2011</w:t>
      </w:r>
      <w:r w:rsidRPr="00896A54">
        <w:rPr>
          <w:rFonts w:ascii="Times New Roman" w:hAnsi="Times New Roman" w:cs="Times New Roman"/>
          <w:sz w:val="24"/>
          <w:szCs w:val="24"/>
        </w:rPr>
        <w:t xml:space="preserve"> Туристские услуги. Экскурсионные услуги. Общие требования;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color w:val="0000FF"/>
          <w:sz w:val="24"/>
          <w:szCs w:val="24"/>
        </w:rPr>
        <w:lastRenderedPageBreak/>
        <w:t xml:space="preserve">ГОСТ </w:t>
      </w:r>
      <w:proofErr w:type="gramStart"/>
      <w:r w:rsidRPr="00896A54">
        <w:rPr>
          <w:rFonts w:ascii="Times New Roman" w:hAnsi="Times New Roman" w:cs="Times New Roman"/>
          <w:color w:val="0000FF"/>
          <w:sz w:val="24"/>
          <w:szCs w:val="24"/>
        </w:rPr>
        <w:t>Р</w:t>
      </w:r>
      <w:proofErr w:type="gramEnd"/>
      <w:r w:rsidRPr="00896A54">
        <w:rPr>
          <w:rFonts w:ascii="Times New Roman" w:hAnsi="Times New Roman" w:cs="Times New Roman"/>
          <w:color w:val="0000FF"/>
          <w:sz w:val="24"/>
          <w:szCs w:val="24"/>
        </w:rPr>
        <w:t xml:space="preserve"> ИСО 14063-2007</w:t>
      </w:r>
      <w:r w:rsidRPr="00896A54">
        <w:rPr>
          <w:rFonts w:ascii="Times New Roman" w:hAnsi="Times New Roman" w:cs="Times New Roman"/>
          <w:sz w:val="24"/>
          <w:szCs w:val="24"/>
        </w:rPr>
        <w:t xml:space="preserve"> Экологический менеджмент. Обмен экологической информацией. Рекомендации и примеры;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Модельный экологический </w:t>
      </w:r>
      <w:r w:rsidRPr="00896A54">
        <w:rPr>
          <w:rFonts w:ascii="Times New Roman" w:hAnsi="Times New Roman" w:cs="Times New Roman"/>
          <w:color w:val="0000FF"/>
          <w:sz w:val="24"/>
          <w:szCs w:val="24"/>
        </w:rPr>
        <w:t>кодекс</w:t>
      </w:r>
      <w:r w:rsidRPr="00896A54">
        <w:rPr>
          <w:rFonts w:ascii="Times New Roman" w:hAnsi="Times New Roman" w:cs="Times New Roman"/>
          <w:sz w:val="24"/>
          <w:szCs w:val="24"/>
        </w:rPr>
        <w:t xml:space="preserve"> для государств - участников Содружества Независимых Государств, принятый постановлениями от 16.11.2006 N 27-8 на двадцать седьмом пленарном заседании Межпарламентской Ассамблеи государств - участников СНГ и от 31.10.2007 N 29-14 на двадцать девятом пленарном заседании Межпарламентской Ассамблеи государств - участников СНГ;</w:t>
      </w:r>
    </w:p>
    <w:p w:rsidR="00896A54" w:rsidRPr="00896A54" w:rsidRDefault="00896A54" w:rsidP="004A76FC">
      <w:pPr>
        <w:pStyle w:val="ConsPlusNormal"/>
        <w:numPr>
          <w:ilvl w:val="0"/>
          <w:numId w:val="3"/>
        </w:numPr>
        <w:ind w:left="1259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r w:rsidRPr="00896A54">
        <w:rPr>
          <w:rFonts w:ascii="Times New Roman" w:hAnsi="Times New Roman" w:cs="Times New Roman"/>
          <w:color w:val="0000FF"/>
          <w:sz w:val="24"/>
          <w:szCs w:val="24"/>
        </w:rPr>
        <w:t>рекомендации</w:t>
      </w:r>
      <w:r w:rsidRPr="00896A54">
        <w:rPr>
          <w:rFonts w:ascii="Times New Roman" w:hAnsi="Times New Roman" w:cs="Times New Roman"/>
          <w:sz w:val="24"/>
          <w:szCs w:val="24"/>
        </w:rPr>
        <w:t xml:space="preserve"> по ведению добровольческой (волонтерской) деятельности на особо охраняемых природных территориях федерального значения, находящихся в ведении Министерства природных ресурсов и экологии Российской Федерации, утвержденные распоряжением Минприроды России от 05.02.2020 N 5-р.</w:t>
      </w: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II. Цели и задачи эколого-просветительской деятельности на особо охраняемых природных территориях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2.1. Целями эколого-просветительской деятельности на ООПТ являются: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формирование в обществе понимания современной роли ООПТ в сохранении биологического и ландшафтного разнообразия, уникальных природных комплектов и объектов, представляющих собой научную, культурную и эстетическую ценность, а также места и роли ООПТ в социально-экономическом развитии регионов;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обеспечение поддержки идей заповедного дела широкими слоями населения как необходимое условие выполнения ООПТ своих природоохранных функций;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формирование позитивного имиджа учреждений, осуществляющих управление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содействие формированию экологической культуры;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развитие системы экологического воспитания и просвещения посредством поддержки идей заповедного дела;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приобщение посетителей особо охраняемых природных территорий (туристов) к природе, включая их стремление к ее сохранению.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84"/>
      <w:bookmarkEnd w:id="1"/>
      <w:r w:rsidRPr="00896A54">
        <w:rPr>
          <w:rFonts w:ascii="Times New Roman" w:hAnsi="Times New Roman" w:cs="Times New Roman"/>
          <w:sz w:val="24"/>
          <w:szCs w:val="24"/>
        </w:rPr>
        <w:t>2.2. Достижение целей эколого-просветительской деятельности на ООПТ обеспечивается решением следующих задач: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внедрение системного подхода в организацию эколого-просветительской деятельности с учетом лучших отечественных и зарубежных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методических подходов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по ведению эколого-просветительской деятельности;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участие в создании единого информационного пространства, обеспечивающего обмен эколого-просветительской информацией и опытом эколого-просветительской и добровольческой деятельности с использованием лучшего российского и зарубежного опыта;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разработка и реализация эколого-просветительских программ, ориентированных на различные целевые группы, с использованием современных форм и методов эколого-просветительской деятельности;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стимулирование участия граждан, а также общественных объединений и некоммерческих организаций, осуществляющих деятельность в области охраны окружающей среды, в организации, охране и использовании особо охраняемых природных территорий;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вовлечение населения на добровольной основе в практическую природоохранную деятельность;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расширение сотрудничества с государственными учреждениями, коммерческими и некоммерческими организациями, образовательными учреждениями, со средствами массовой </w:t>
      </w:r>
      <w:r w:rsidRPr="00896A54">
        <w:rPr>
          <w:rFonts w:ascii="Times New Roman" w:hAnsi="Times New Roman" w:cs="Times New Roman"/>
          <w:sz w:val="24"/>
          <w:szCs w:val="24"/>
        </w:rPr>
        <w:lastRenderedPageBreak/>
        <w:t>информации.</w:t>
      </w: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III. Организация эколого-просветительской деятельности на особо охраняемых природных территориях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3.1. Организация эколого-просветительской деятельности осуществляется, при наличии возможностей, специализированным структурным подразделением ФГБУ ООПТ (далее - структурное подразделение), в функции которого, в том числе, может входить обеспечение развития экологического туризма.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3.2. Наименование структурного подразделения, определение его штата, назначение руководителя структурного подразделения, а также утверждение планов работы структурного подразделения осуществляет директор учреждения в установленном порядке.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3.3. При планировании эколого-просветительской деятельности рекомендовано учитывать результаты мониторинга, характеризующего отношение местного населения к деятельности ФГБУ ООПТ, а также актуальную потребность в развитии определенных направлений и форм эколого-просветительской деятельности.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3.4. Структурное подразделение подготавливает годовой (краткосрочный) план работы, который является составной частью годового плана работ учреждения по основной деятельности, а также комплексную программу (среднесрочную, долгосрочную) эколого-просветительской деятельности учреждения. Пример комплексной программы эколого-просветительской деятельности приведен в </w:t>
      </w:r>
      <w:hyperlink w:anchor="Par311" w:history="1">
        <w:r w:rsidRPr="00896A54">
          <w:rPr>
            <w:rFonts w:ascii="Times New Roman" w:hAnsi="Times New Roman" w:cs="Times New Roman"/>
            <w:color w:val="0000FF"/>
            <w:sz w:val="24"/>
            <w:szCs w:val="24"/>
          </w:rPr>
          <w:t>приложении</w:t>
        </w:r>
      </w:hyperlink>
      <w:r w:rsidRPr="00896A54">
        <w:rPr>
          <w:rFonts w:ascii="Times New Roman" w:hAnsi="Times New Roman" w:cs="Times New Roman"/>
          <w:sz w:val="24"/>
          <w:szCs w:val="24"/>
        </w:rPr>
        <w:t xml:space="preserve"> к настоящим Методическим рекомендациям.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3.5. При реализации эколого-просветительской деятельности структурное подразделение взаимодействует с другими отделами учреждения, осуществляющего управление ООПТ, обеспечивает общую координацию эколого-просветительской деятельности учреждения.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3.6. Структурное подразделение участвует в разработке и утверждении, в соответствии с действующим законодательством Российской Федерации, фирменного стиля и символики учреждения, использует утвержденный фирменный стиль и символику при организации эколого-просветительской деятельности (использование логотипа при изготовлении печатной и иной информационной продукции, использование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брендированных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 xml:space="preserve"> элементов одежды при проведении публичных мероприятий и др.).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3.7. Эколого-просветительская деятельность может осуществляться во взаимодействии с государственными, некоммерческими и коммерческими организациями, общественными объединениями, созданными по инициативе местного населения.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3.8. По итогам реализации плана работы структурного подразделения подготавливается отчет о работе в установленном формате, в соответствии с формой годового отчета учреждения по государственному заданию.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3.9. Структурное подразделение формирует банк фот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и видеоматериалов для изготовления издательской, выставочной, сувенирной и иной продукции, популяризирующей деятельность и достижения ФГБУ ООПТ.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3.10. Работники структурного подразделения принимают участие в мероприятиях по повышению квалификации, в том числе в межрегиональных и всероссийских научно-практических семинарах,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 xml:space="preserve">, практикумах, конференциях, конкурсах профессионального мастерства, стажировках и ознакомительных поездках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российские и зарубежные ООПТ.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3.11. Структурное подразделение при наличии возможностей и в порядке, предусмотренном действующим законодательством о печати, издает самостоятельно или оказывает содействие изданию специализированных газет (бюллетеней) или приложений к издаваемым местным средствам массовой информации. Периодичность таких изданий </w:t>
      </w:r>
      <w:r w:rsidRPr="00896A54">
        <w:rPr>
          <w:rFonts w:ascii="Times New Roman" w:hAnsi="Times New Roman" w:cs="Times New Roman"/>
          <w:sz w:val="24"/>
          <w:szCs w:val="24"/>
        </w:rPr>
        <w:lastRenderedPageBreak/>
        <w:t>определяется в каждом конкретном случае с учетом местных условий и возможностей издателя.</w:t>
      </w: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IV. Основные целевые группы эколого-просветительской деятельности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4.1. Для достижения максимальной эффективности эколого-просветительской деятельности рекомендуется предусматривать различные формы и методы эколого-просветительской деятельности в зависимости от целевой группы.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4.2. Приоритетными целевыми группами при осуществлении эколого-просветительской деятельности являются: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органы государственной власти Российской Федерации, субъектов Российской Федерации, органы местного самоуправления;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коммерческие организации;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некоммерческие организации;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средства массовой информации;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молодежь;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образовательных учреждений;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педагогические работники;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местное население, проживающее в границах особо охраняемой природной территории и на прилегающей территории.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Эколого-просветительская деятельность ведется также с широкими слоями населения, включающими представителей различных целевых групп.</w:t>
      </w: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V. Приоритетные формы эколого-просветительской деятельности, направленной на различные целевые группы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5.1. Приоритетными формами взаимодействия с органами государственной власти Российской Федерации, субъектов Российской Федерации, органами местного самоуправления в области экологического просвещения рекомендуется считать: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проведение деловых встреч, совещаний, круглых столов, семинаров и форумов с использованием потенциала ООПТ, площадок туристской и эколого-просветительской инфраструктуры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участие в международных мероприятиях и проведении всероссийских мероприятий с целью популяризации системы ООПТ и обмена лучшими природоохранными практиками;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фотовыставок, кинопоказов, интерактивных экспозиций с демонстрацией мультимедийной продукции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размещение информационных стендов, фотовыставок, "уголков природы", мультимедийной продукции ООПТ, в том числе в офисах органов государственной власти и органов местного самоуправления, на общественных пространствах;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включение вопросов ведения эколого-просветительской деятельности на ООПТ в региональные ведомственные планы и программы, а также стратегии социально-экономического развития регионов;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вовлечение представителей органов исполнительной и муниципальной власти в разработку и реализацию совместных программ в области экологического просвещения;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подготовку специальных информационных материалов целевого назначения о деятельности учреждения;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lastRenderedPageBreak/>
        <w:t>проведение мероприятий, направленных на позиционирование учреждений, осуществляющих управление ООПТ в качестве экспертной организации в области охраны природы, по направлениям деятельности учреждения.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5.2. Приоритетными формами экологического просвещения работников коммерческих организаций являются: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разработка и внедрение корпоративных программ по сохранению биологического разнообразия и поддержке ООПТ в зоне влияния коммерческих организаций;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реализация проектных мероприятий и благотворительной деятельности, направленных на сохранение биологического разнообразия и поддержку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реализация добровольческих (волонтерских) проектов и программ в области развития корпоративного добровольчества (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организация и проведение эколого-просветительских мероприятий для работников коммерческих организаций и их семей (деловые игры,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, праздники);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и проведение эколого-просветительских мероприятий (лекции, мастер-классы, кинопоказы, фотовыставки) на внутрикорпоративных научно-практических и других тематических профессиональных мероприятиях;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тиражирование лучшего опыта взаимодействия ФГБУ ООПТ с коммерческими организациями в формате аналитических обзоров, сборников, статей, лекций и пр.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5.3. Приоритетными формами обеспечения взаимодействия с некоммерческими организациями в области экологического просвещения рекомендуется считать: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участие в организации и проведении совместных массовых природоохранных, эколого-просветительских и добровольческих акций, мероприятий;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участие в организации, проведении и ресурсной поддержке научно-исследовательских работ, учетных и мониторинговых исследований на ООПТ и за их пределами;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осуществление информационного и эколого-просветительского взаимодействия (предоставление информации по направлениям деятельности ООПТ, распространение информации о совместных мероприятиях);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осуществление методического взаимодействия (совместная подготовка и участие специалистов в научно-практических мероприятиях, подготовка методических материалов).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5.4. Приоритетными формами взаимодействия со средствами массовой информации в области экологического просвещения являются: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обеспечение регулярного освещения деятельности ФГБУ ООПТ в СМИ, включая электронные, в том числе посредством подготовки и рассылки пресс-релизов;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формирование информационных поводов, способствующих увеличению количества информационных материалов в федеральных, региональных и местных средствах массовой информации;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содействие увеличению публикаций журналистов по тематике заповедного дела, организации тематических рубрик, колонок в средствах массовой информации;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проведение мероприятий для журналистов (круглых столов, пресс-конференций, пресс-туров), приуроченных к крупным событиям, происходящим на особо охраняемой природной территории или за ее пределами;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проведение конкурсов среди журналистов на лучшие публикации, лучшие информационные материалы об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lastRenderedPageBreak/>
        <w:t>поддержка пресс-клубов, организация эффективного информационного взаимодействия с профильными ВУЗами с целью содействия развитию экологической журналистики;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обеспечение эффективного взаимодействия пресс-службы ФГБУ ООПТ с пресс-службой Минприроды России.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Особое значение придается взаимодействию с региональными и местными (районными и городскими) средствами массовой информации, в том числе электронными.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5.5. Приоритетными формами экологического просвещения молодежи рекомендуется считать: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участие молодежи в выездных природоохранных и эколого-просветительских мероприятиях, организованных отделом экологического просвещения;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вовлечение молодежи в научно-исследовательскую деятельность на ООПТ в рамках студенческих практик и научного добровольчества (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стимулирование проектной деятельности молодежи (поддержка и реализация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стартапов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, проектов, акций и др.) экологической направленности;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и проведение молодежных научно-практических мероприятий, в том числе конференций, семинаров, круглых столов, мастер-классов;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и проведение конкурсов экологической и природоохранной направленности среди молодежи, в том числе научных, художественных, фото и видео-конкурсов;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регулярных встреч молодежи с ведущими учеными, специалистами по охране природы, опытными волонтерами;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концертов, фестивалей, праздников и иных событийных экологических мероприятий;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и поддержка экологических слетов, клубов друзей, общественных объединений в поддержку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поддержка и организация добровольческих мероприятий;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спортивно-оздоровительных мероприятий в поддержку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содействие деятельности дружин охраны природы высших учебных заведений, студенческих отрядов и бригад;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проведение мероприятий в интерактивном формате (диспуты, дебаты, гражданские форумы, брифинги, природоохранные флэш-мобы, ток-шоу,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, познавательные и деловые игры, мозговые штурмы);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использование информационных ресурсов в информационно-коммуникационной сети Интернет, социальных медиа и мобильных сервисов (реализация онлайн проектов, ведение тематических групп, блогов) для привлечения молодежной аудитории.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5.6. Приоритетными формами экологического просвещения обучающихся образовательных учреждений рекомендуется считать: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проведение на регулярной основе полевых практик и экспедиций, слетов, лагерей, полевых экологических школ на базе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формирование и проведение экскурсионных и лекционных программ эколого-биологической направленности в поддержку экологического образования, в том числе экскурсий и уроков в музеях природы, на экологических тропах и маршрутах, иных объектах туристской инфраструктуры;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формирование и привлечение к участию в юннатских, творческих и экологических </w:t>
      </w:r>
      <w:r w:rsidRPr="00896A54">
        <w:rPr>
          <w:rFonts w:ascii="Times New Roman" w:hAnsi="Times New Roman" w:cs="Times New Roman"/>
          <w:sz w:val="24"/>
          <w:szCs w:val="24"/>
        </w:rPr>
        <w:lastRenderedPageBreak/>
        <w:t>кружках, клубах друзей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работы школьных лесничеств, патрулей, школ общественных инспекторов;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создание и проведение экологических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квестов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, викторин, конкурсов, олимпиад, диктантов по вопросам охраны природы;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проведение научно-практических мероприятий для обучающихся (конференций, семинаров, круглых столов, форумов).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5.7. Приоритетными формами экологического просвещения педагогических работников рекомендуется считать: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и проведение научно-практических и методических мероприятий (лекций, конференций, семинаров, круглых столов, форумов);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участие в организации и проведении курсов повышения квалификации;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создание методических рекомендаций по проведению на ООПТ учебных занятий, программ и исследовательских проектов, тиражирование опыта их реализации;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инициация и содействие в проведении тематических уроков и практических занятий с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>, учебных практик и экспедиций на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предоставление образовательным учреждениям справочной и иной специальной литературы, различных дидактических материалов по вопросам заповедного дела;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проведение методических консультаций по проведению эколого-просветительских мероприятий в рамках дополнительного образования;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совместная подготовка методических рекомендаций, учебных пособий, сценариев экологических уроков, лекций, видеофильмов и других информационных материалов по вопросам охраны природы;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проведение конкурсов педагогического мастерства.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5.8. Приоритетными формами экологического просвещения местного населения рекомендуется считать: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проведение групповых и индивидуальных встреч, консультаций, дней открытых дверей для представителей местного населения как на базе ФГБУ ООПТ, так и на базе иной организации в поселениях, находящихся в границах ООПТ и на прилегающих территориях;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публикации на регулярной основе статей, заметок о деятельности ООПТ в местных и региональных средствах массовой информации;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размещение информации на стендах и информационных щитах близлежащих населенных пунктов и населенных пунктах, находящихся в границах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вовлечение местного населения в работу в качестве общественных инспекторов в области охраны окружающей среды, в рамках добровольных общественных природоохранных патрулей;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эколого-просветительских мероприятий для местного населения в близлежащих населенных пунктах и населенных пунктах, находящихся в границах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поддержка гражданских инициатив общественных советов (организация и участие в собраниях, дискуссиях, проведение обучающих семинаров и программ, конкурсов гражданских инициатив);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вовлечение местного населения в эколого-ориентированную предпринимательскую деятельность (производство и реализация сувенирной продукции, в том числе продукции народных промыслов, производство и поставка продуктов питания, обслуживание туристских </w:t>
      </w:r>
      <w:r w:rsidRPr="00896A54">
        <w:rPr>
          <w:rFonts w:ascii="Times New Roman" w:hAnsi="Times New Roman" w:cs="Times New Roman"/>
          <w:sz w:val="24"/>
          <w:szCs w:val="24"/>
        </w:rPr>
        <w:lastRenderedPageBreak/>
        <w:t>маршрутов, участие в организации эколого-просветительских мероприятий);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участие в проведении местных и региональных праздников с эколого-просветительскими целями.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5.9. Приоритетными формами для обеспечения широкого охвата населения эколого-просветительской деятельностью рекомендуется считать: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организация массовых публичных мероприятий (фестивали, праздники, акции), приуроченных к официальным календарным природоохранным датам (Всемирный день охраны окружающей среды, День заповедников и национальных парков, День работника леса), к праздничным датам, объявленным природоохранными государственными и некоммерческими организациями, в том числе международными (День птиц, День Земли, Международный день биологического разнообразия, Международный день водно-болотных угодий, Всемирный день моря), к юбилеям ООПТ;</w:t>
      </w:r>
      <w:proofErr w:type="gramEnd"/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регулярная публикация информационных материалов в средствах массовой информации федерального, регионального и местного значения, включая электронные;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специальных радио и телепередач, посвященных вопросам охраны окружающей среды;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реализация эколого-просветительских онлайн проектов в информационно-коммуникационной сети "Интернет", в том числе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социальных медиа;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размещение рекламных щитов, баннеров на общественных пространствах;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организация фот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и других выставок природоохранной направленности;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создание и распространение социальной рекламы;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организация семейных форм массовых публичных мероприятий (игры,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, конкурсы);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реализация добровольческих (волонтерских) проектов и программ;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проведение мероприятий, нацеленных на развитие групп поддержки особо охраняемых природных территорий ("клубы друзей", неформальные объединения, волонтерские сообщества).</w:t>
      </w: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VI. Основные направления эколого-просветительской деятельности на особо охраняемых природных территориях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Для реализации задач данных Методических рекомендаций, указанных в </w:t>
      </w:r>
      <w:hyperlink w:anchor="Par84" w:history="1">
        <w:r w:rsidRPr="00896A54">
          <w:rPr>
            <w:rFonts w:ascii="Times New Roman" w:hAnsi="Times New Roman" w:cs="Times New Roman"/>
            <w:color w:val="0000FF"/>
            <w:sz w:val="24"/>
            <w:szCs w:val="24"/>
          </w:rPr>
          <w:t>пункте 2.2</w:t>
        </w:r>
      </w:hyperlink>
      <w:r w:rsidRPr="00896A54">
        <w:rPr>
          <w:rFonts w:ascii="Times New Roman" w:hAnsi="Times New Roman" w:cs="Times New Roman"/>
          <w:sz w:val="24"/>
          <w:szCs w:val="24"/>
        </w:rPr>
        <w:t>, могут быть реализованы мероприятия по следующим направлениям: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6.1. Проведение массовых эколого-просветительских мероприятий: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массовые акции, фестивали, праздники, в том числе к календарным природоохранным датам, театрализованные представления, уличные шествия,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флэшмобы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 xml:space="preserve"> и концерты;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конкурсы природоохранной тематики;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, конференции, форумы, семинары по основным направлениям деятельности ФГБУ ООПТ, а также лекции и встречи со специалистами особо охраняемой природной территории, в том числе с использованием информационно-коммуникационной сети "Интернет".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Ведение отчетности по итогам реализации онлайн-мероприятий (конкурсы, фестивали, лекции, мастер-классы) рекомендовано осуществлять по количеству мероприятий и количеству просмотров, где единица просмотра мероприятия приравнивается к единице посещения. К отчету рекомендовано также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прилагать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материалы СМИ о проведенном мероприятии (при наличии) и фото с экрана компьютера (скриншот) на момент проведения мероприятия. </w:t>
      </w:r>
      <w:r w:rsidRPr="00896A54">
        <w:rPr>
          <w:rFonts w:ascii="Times New Roman" w:hAnsi="Times New Roman" w:cs="Times New Roman"/>
          <w:sz w:val="24"/>
          <w:szCs w:val="24"/>
        </w:rPr>
        <w:lastRenderedPageBreak/>
        <w:t>Скриншоты являются надлежащим доказательством лишь в том случае, если на них обозначены дата и время получения информации с сайта в сети Интернет. Учет просмотров при онлайн трансляции рекомендовано осуществлять отдельно от просмотров сохраненной записи.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Формы массовых эколого-просветительских мероприятий могут различаться в зависимости от целевой группы, категории ООПТ и возможностей учреждения, осуществляющего управление особо охраняемой природной территорией (в соответствии с уставом учреждения).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Целесообразно привлекать партнеров, заинтересованные организации, деятельность которых не противоречит деятельности ФГБУ ООПТ.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6.2. Создание и функционирование музеев, информационных и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визит-центров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>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Музеи, в том числе музеи природы, этнографические, краеведческие музеи, информационные и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визит-центры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рекомендовано создавать на особо охраняемой природной территории, а также на базе различных учреждений и организаций, прежде всего занимающихся экологическим просвещением и образованием, при их согласии. Создание и функционирование музеев, информационных и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визит-центров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рекомендовано осуществлять в соответствии с Федеральным </w:t>
      </w:r>
      <w:hyperlink r:id="rId6" w:history="1">
        <w:r w:rsidRPr="00896A5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96A54">
        <w:rPr>
          <w:rFonts w:ascii="Times New Roman" w:hAnsi="Times New Roman" w:cs="Times New Roman"/>
          <w:sz w:val="24"/>
          <w:szCs w:val="24"/>
        </w:rPr>
        <w:t xml:space="preserve"> от 26.05.1996 N 54-ФЗ "О Музейном фонде Российской Федерации и музеях в Российской Федерации" и в тесном взаимодействии с научным отделом и другими структурными подразделениями ФГБУ ООПТ. Возможность и необходимость привлечения экспертов и консультантов из числа сотрудников иных подразделений и других сторонних организаций для участия в разработке концепции данных инфраструктурных объектов определяется директором ФГБУ ООПТ.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Составными частями проектирования экспозиций могут являться: научное проектирование, в ходе которого разрабатываются основные идеи и содержание экспозиции, художественное проектирование, обеспечивающее эстетическую привлекательность экспозиции, техническое и рабочее проектирование, обозначающее место каждого экспоната и текстового сопровождения, использование необходимых технических средств демонстрации.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6.2.1. Деятельность музея может включать: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выявление, собирание, хранение, изучение, публикацию музейных предметов и музейных коллекций, обеспечение доступа к ним граждан и популяризацию указанных объектов;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организацию работы с музейными фондами, включая первичный учет, первичную регистрацию, каталогизацию и актуализацию музейных предметов и коллекций, пополнение и формирование экспозиций с учетом современных теоретических и практических разработок в области музейного дела;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ведение работы с посетителями, используя и совершенствуя современные формы и методы музейной работы, в том числе ведение экскурсионной деятельности.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6.2.2. В состав единых комплексов музеев могут быть включены расположенные на особо охраняемых природных территориях и за их пределами демонстрационные вольеры с животными, "живые уголки", коллекции живых растений, иные экспозиции "под открытым небом", включая историко-архитектурные и этнографические объекты, управление которыми осуществляет ФГБУ ООПТ.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6.2.3.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Визит-центры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- это стационарные объекты туристской индустрии, где посетители должны иметь возможность получить в наглядной и доступной форме информацию об ООПТ, ее основных достопримечательностях, условиях ее посещения, возможностях для волонтерской деятельности, а также сопутствующие услуги - запись на экскурсии, приобретение информационной и сувенирной продукции и другое. В визит-центре могут быть созданы постоянные и временные экспозиции, осуществляться демонстрация кин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и видеофильмов об ООПТ, лекционная и иные формы эколого-просветительской деятельности.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lastRenderedPageBreak/>
        <w:t>6.2.4. Информационный центр - постоянный или временно действующий объект туристской индустрии, осуществляющий информационное обслуживание населения по вопросам деятельности ООПТ. Основной функцией информационного центра является обеспечение посетителей информацией о режиме, условиях посещения, предоставляемых эколого-просветительских и туристских услугах, актуальных сведениях о деятельности учреждения. Информационные центры могут располагаться как на ООПТ, за пределами ООПТ, а так в иных учреждениях и организациях.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6.3. Организация и ведение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выставочно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-экспозиционной деятельности.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Структурное подразделение осуществляет подготовку и реализацию стационарных, временных и передвижных экспозиций и выставок (фото-стенды, фотовыставки, выставки художественных работ, поделок).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Выставочные экспозиции могут быть размещены как на базе инфраструктурных объектов ООПТ, так и в различных организациях и учреждениях (библиотеках, образовательных учреждениях, кинотеатрах, торговых центрах, залах ожидания железнодорожных и автовокзалов, аэропортах, административных зданиях органов государственной власти и местного самоуправления, офисах некоммерческих и коммерческих организаций, в рамках форумов, конференций).</w:t>
      </w:r>
      <w:bookmarkStart w:id="2" w:name="_GoBack"/>
      <w:bookmarkEnd w:id="2"/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Основными принципами осуществления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выставочно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-экспозиционной деятельности являются: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обеспечение научной достоверности информации;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соблюдение правильного соотношения визуальных и текстовых форм подачи информации;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обеспечение эстетической привлекательности экспозиции;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включение регионального компонента;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отражение исторического контекста создания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применение интерактивных методов экологического просвещения;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обеспечение доступности информации с учетом возрастных и индивидуальных особенностей посетителей;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применение метода интерпретации природного и историко-культурного наследия;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использование современных информационно-коммуникационных технологий (интерактивные панели, сенсорные киоски, экраны, интерактивные книги).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6.4. Изготовление информационно-просветительской и сувенирной продукции.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 информационно-просветительской продукции относятся: информационные буклеты, плакаты, листовки, брошюры, фотоальбомы, наборы открыток, календари и иные формы печатной продукции с изображением символики ООПТ, природных комплексов, объектов животного и растительного мира ООПТ, а также объекты историко-культурного наследия, ландшафтные особенности территории.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 сувенирным видам продукции относятся: значки, предметы одежды, аксессуары, канцелярские принадлежности, предметы интерьера с изображением символики ООПТ, природных комплексов, объектов животного и растительного мира ООПТ.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Отдельным видом информационно-просветительской продукции является аудио-, кин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и видеопродукция.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Производство кин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и видеопродукции рекомендуется осуществлять с учетом следующих условий: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lastRenderedPageBreak/>
        <w:t>все виды кин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и видеосъемок должны проводиться только методами, не вызывающими беспокойство животных и в соответствии с установленным режимом особой охраны;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аудио-, кин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и видеопродукция создается работниками ФГБУ ООПТ, сторонними специалистами и съемочными группами в установленном порядке. Для производства съемок (за исключением любительских) на территории ООПТ юридическим и физическим лицам рекомендовано получить письменное разрешение от ФГБУ ООПТ.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6.5. Взаимодействие со средствами массовой информации, в том числе с использованием ресурсов информационно-коммуникационной сети "Интернет", социальных медиа, мобильных сервисов.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6.5.1. Структурному подразделению рекомендуется обеспечить регулярное размещение эколого-просветительских и информационных материалов с использованием различных средств массовой информации (далее - СМИ): периодические печатные издания, сетевые издания, телеканалы, радиоканалы, телепрограммы, радиопрограммы. Особое внимание следует уделять размещению информации в региональных и местных СМИ.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Для эффективного взаимодействия со СМИ учреждению рекомендуется определить должностное лицо для осуществления взаимодействия со СМИ.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6.5.2. Отделу экологического просвещения рекомендуется на постоянной основе вести интернет-сайт учреждения, осуществляющего управление особо охраняемой природной территорией.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Интернет-сайт - комплекс цифровых и электронных документов, объединенных общим адресом, оформлением и авторством, размещенный учреждением в информационно-коммуникационной сети "Интернет" и обеспечивающий доступ граждан и организаций к информации о деятельности соответствующего федерального государственного учреждения.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Создание Интернет-сайта рекомендовано осуществлять с учетом специфики ООПТ и учреждения, осуществляющего управление ООПТ, в том числе рекомендуется предусмотреть наличие следующих сведений: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официальные данные об ООПТ: наименование, официальные реквизиты, данные правоустанавливающего документа о создании ООПТ, текст положения, сведения о площади и границах, о международных статусах территории, информацию о руководстве и сотрудниках;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информацию о природных и культурных особенностях ООПТ: о физико-географических условиях, объектах растительного и животного мира, состоянии экосистем, историко-культурном потенциале;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информацию о деятельности учреждения, включая ленту новостей, а также библиотеку изданий учреждения;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информацию о партнерах учреждения;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информацию для посетителей о возможностях и условиях посещения, экологических тропах и маршрутах, музеях и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визит-центрах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>, иных рекомендуемых объектах для посещения, правилах поведения для посетителей, проектах и программах эколого-просветительской деятельности, информацию об издаваемой печатной продукции, а также общую информацию об услугах, оказываемых учреждением.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Рекомендуется создание отдельного раздела, посвященного развитию добровольческой (волонтерской) деятельности на ООПТ.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6.6. Организация и ведение экскурсионной деятельности.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Экскурсионная деятельность на ООПТ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является частью деятельности по развитию экологического туризма и осуществляется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с целью экологического просвещения на специально выделенных участках особо охраняемых природных территорий, в границах которых </w:t>
      </w:r>
      <w:r w:rsidRPr="00896A54">
        <w:rPr>
          <w:rFonts w:ascii="Times New Roman" w:hAnsi="Times New Roman" w:cs="Times New Roman"/>
          <w:sz w:val="24"/>
          <w:szCs w:val="24"/>
        </w:rPr>
        <w:lastRenderedPageBreak/>
        <w:t>допускается проведение экскурсий. Экскурсии проводятся также на экологических маршрутах и тропах, на других объектах туристской инфраструктуры ООПТ и за ее пределами.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Экскурсии могут быть общими познавательными, а также различаться по тематике и форме проведения (историко-краеведческие, исследовательские, событийные, анимационные).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Разработку методики проведения экскурсий, составление "портфеля экскурсовода", а также комплексную разработку экскурсионного продукта рекомендовано осуществлять во взаимодействии со специалистами других структурных подразделений учреждения, а также со специалистами профильных организаций.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6.6.1. Экскурсионная деятельность осуществляется в соответствии со строгим соблюдением следующих правил и требований: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соблюдение установленного режима особой охраны территории;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недопущение деградации природных комплексов и объектов;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обеспечение безопасности посетителей.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6.6.2. Вопросы регламентации экскурсионной деятельности, установление правил пребывания на экологических маршрутах и тропах, а также установление лимитов посещения могут быть утверждены директором ФГБУ ООПТ с учетом установленного режима охраны ООПТ.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6.6.3. С целью формирования комфортной, безопасной и информационно-емкой туристской среды рекомендуется: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разработать,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внедрить и развивать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единую унифицированную систему туристской навигации на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разработать общие требования безопасности к туристским маршрутам, в особенности к маршрутам, реализуемым в рамках детского туризма и инклюзивного туризма;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разработать информационные материалы об экологических тропах и маршрутах, включая правила поведения на них, обеспечить распространение указанной информации посредством размещения на сайте учреждения, на информационных аншлагах и стендах, путем создания путеводителей, мобильных приложений;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обеспечить прохождение аттестации работников структурного подразделения для ведения экскурсионной деятельности, согласно требованиям профессионального </w:t>
      </w:r>
      <w:hyperlink r:id="rId7" w:history="1">
        <w:r w:rsidRPr="00896A54">
          <w:rPr>
            <w:rFonts w:ascii="Times New Roman" w:hAnsi="Times New Roman" w:cs="Times New Roman"/>
            <w:color w:val="0000FF"/>
            <w:sz w:val="24"/>
            <w:szCs w:val="24"/>
          </w:rPr>
          <w:t>стандарта</w:t>
        </w:r>
      </w:hyperlink>
      <w:r w:rsidRPr="00896A54">
        <w:rPr>
          <w:rFonts w:ascii="Times New Roman" w:hAnsi="Times New Roman" w:cs="Times New Roman"/>
          <w:sz w:val="24"/>
          <w:szCs w:val="24"/>
        </w:rPr>
        <w:t xml:space="preserve"> "Экскурсовод (гид)" (приказ Министерства труда и социальной защиты Российской Федерации от 4 августа 2014 г. N 539н "Об утверждении профессионального стандарта "Экскурсовод (гид)" (зарегистрирован Минюстом России 01.09.2014 N 33924);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разрабатывать интерактивные экскурсии для разных целевых групп и проводить обучение сотрудников, в том числе внештатных гидов-экскурсоводов, работающих как на ООПТ, так и на прилегающей территории за пределами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обеспечивать проведение добровольной сертификации экологических маршрутов и экологических троп в соответствии с требованиями </w:t>
      </w:r>
      <w:hyperlink r:id="rId8" w:history="1">
        <w:r w:rsidRPr="00896A54">
          <w:rPr>
            <w:rFonts w:ascii="Times New Roman" w:hAnsi="Times New Roman" w:cs="Times New Roman"/>
            <w:color w:val="0000FF"/>
            <w:sz w:val="24"/>
            <w:szCs w:val="24"/>
          </w:rPr>
          <w:t xml:space="preserve">ГОСТ </w:t>
        </w:r>
        <w:proofErr w:type="gramStart"/>
        <w:r w:rsidRPr="00896A54">
          <w:rPr>
            <w:rFonts w:ascii="Times New Roman" w:hAnsi="Times New Roman" w:cs="Times New Roman"/>
            <w:color w:val="0000FF"/>
            <w:sz w:val="24"/>
            <w:szCs w:val="24"/>
          </w:rPr>
          <w:t>Р</w:t>
        </w:r>
        <w:proofErr w:type="gramEnd"/>
        <w:r w:rsidRPr="00896A54">
          <w:rPr>
            <w:rFonts w:ascii="Times New Roman" w:hAnsi="Times New Roman" w:cs="Times New Roman"/>
            <w:color w:val="0000FF"/>
            <w:sz w:val="24"/>
            <w:szCs w:val="24"/>
          </w:rPr>
          <w:t xml:space="preserve"> 56642-2015</w:t>
        </w:r>
      </w:hyperlink>
      <w:r w:rsidRPr="00896A54">
        <w:rPr>
          <w:rFonts w:ascii="Times New Roman" w:hAnsi="Times New Roman" w:cs="Times New Roman"/>
          <w:sz w:val="24"/>
          <w:szCs w:val="24"/>
        </w:rPr>
        <w:t xml:space="preserve"> и иными системами добровольной сертификации, в том числе международной.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6.7. Организация и содействие развитию добровольческой (волонтерской) деятельности.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Добровольческая деятельность на ООПТ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является формой эколого-просветительской деятельности и предусматривает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 вовлечение широких кругов населения в практическую деятельность в области охраны окружающей среды.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Организация добровольческой (волонтерской) деятельности на ООПТ регламентируется Федеральным </w:t>
      </w:r>
      <w:hyperlink r:id="rId9" w:history="1">
        <w:r w:rsidRPr="00896A5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96A54">
        <w:rPr>
          <w:rFonts w:ascii="Times New Roman" w:hAnsi="Times New Roman" w:cs="Times New Roman"/>
          <w:sz w:val="24"/>
          <w:szCs w:val="24"/>
        </w:rPr>
        <w:t xml:space="preserve"> от 11.08.95 N 135-ФЗ "О благотворительной деятельности и </w:t>
      </w:r>
      <w:r w:rsidRPr="00896A54">
        <w:rPr>
          <w:rFonts w:ascii="Times New Roman" w:hAnsi="Times New Roman" w:cs="Times New Roman"/>
          <w:sz w:val="24"/>
          <w:szCs w:val="24"/>
        </w:rPr>
        <w:lastRenderedPageBreak/>
        <w:t>добровольчестве (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волонтерстве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 xml:space="preserve">)" и Методическими </w:t>
      </w:r>
      <w:hyperlink r:id="rId10" w:history="1">
        <w:r w:rsidRPr="00896A54">
          <w:rPr>
            <w:rFonts w:ascii="Times New Roman" w:hAnsi="Times New Roman" w:cs="Times New Roman"/>
            <w:color w:val="0000FF"/>
            <w:sz w:val="24"/>
            <w:szCs w:val="24"/>
          </w:rPr>
          <w:t>рекомендациями</w:t>
        </w:r>
      </w:hyperlink>
      <w:r w:rsidRPr="00896A54">
        <w:rPr>
          <w:rFonts w:ascii="Times New Roman" w:hAnsi="Times New Roman" w:cs="Times New Roman"/>
          <w:sz w:val="24"/>
          <w:szCs w:val="24"/>
        </w:rPr>
        <w:t xml:space="preserve"> по ведению добровольческой (волонтерской) деятельности на особо охраняемых природных территориях федерального значения, находящихся в ведении Минприроды России, утвержденными распоряжением Минприроды России от 05.02.2020 N 5-р.</w:t>
      </w: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VII. Оценка эффективности эколого-просветительской деятельности на особо охраняемых природных территориях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7.1. При оценке эффективности эколого-просветительской деятельности ФГБУ ООПТ могут быть использованы как количественные, так и качественные показатели.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7.2. К количественным показателям рекомендуется относить следующие показатели с учетом роста каждого показателя по отношению к предыдущему отчетному периоду: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проведенных эколого-просветительских и добровольческих мероприятий по их формам и видам;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участников эколого-просветительских и добровольческих мероприятий по целевым группам;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реализованных эколого-просветительских и добровольческих проектов (комплекс мероприятий, направленный на достижение определенной задачи в обозначенные сроки);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клубов друзей, сторонников, добровольцев, благотворителей особо охраняемой природной территории;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публикаций, количество цитирований в средствах массовой информации;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подготовленных структурным подразделением эколого-просветительских материалов и каналов их распространения;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посетителей сайта ФГБУ ООПТ, официальных аккаунтов в социальных медиа (при наличии технической возможности получения данных);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количество специалистов по экологическому просвещению, принявших участие в региональных, всероссийских, международных форумах, семинарах,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, конференциях по вопросам ведения эколого-просветительской деятельности;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научно-практических мероприятий (семинаров, круглых столов, конференций) по повышению квалификации, проведенных структурным подразделением;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заключенных соглашений и договоров о сотрудничестве в целях экологического просвещения;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объем привлеченных ресурсов (финансовых и нефинансовых).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7.3. К качественным показателям рекомендуется относить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следующие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>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наличие и выполнение плана эколого-просветительской деятельности;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наличие и увеличение обратной связи (наличие и регулярное пополнение книги отзывов музеев природы, информационных и </w:t>
      </w:r>
      <w:proofErr w:type="gramStart"/>
      <w:r w:rsidRPr="00896A54">
        <w:rPr>
          <w:rFonts w:ascii="Times New Roman" w:hAnsi="Times New Roman" w:cs="Times New Roman"/>
          <w:sz w:val="24"/>
          <w:szCs w:val="24"/>
        </w:rPr>
        <w:t>визит-центров</w:t>
      </w:r>
      <w:proofErr w:type="gramEnd"/>
      <w:r w:rsidRPr="00896A54">
        <w:rPr>
          <w:rFonts w:ascii="Times New Roman" w:hAnsi="Times New Roman" w:cs="Times New Roman"/>
          <w:sz w:val="24"/>
          <w:szCs w:val="24"/>
        </w:rPr>
        <w:t xml:space="preserve">, других объектов туристской инфраструктуры, а также наличие активной формы обратной связи на сайте учреждения, наличие активных социальных медиаканалов и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мессенджеров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>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наличие активного постоянного сообщества из числа местного населения, осуществляющего поддержку ООПТ, и реализация совместных проектов;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наличие постоянных клубов друзей ООПТ, регулярно реализующих эколого-просветительские и практические мероприятия;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lastRenderedPageBreak/>
        <w:t>наличие позитивных изменений в отношении местного населения к деятельности ФГБУ ООПТ, оцениваемых по результатам социологических исследований (анкетирование, опрос);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уменьшение количества нарушений режима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наличие активного добровольческого сообщества, регулярно участвующего в добровольческих проектах и программах ФГБУ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наличие регулярно обновляемой страницы в единой информационной сети "Доброволец России";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наличие формы подписки на новости, размещенной на сайте официальном сайте ФГБУ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наличие методических материалов по ведению эколого-просветительской деятельности, созданных структурным подразделением;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наличие призеров и победителей, как среди представителей целевых групп, так и среди специалистов ФГБУ ООПТ, муниципальных, региональных, всероссийских и международных экологических конкурсов, в которых принимает участие ФГБУ ООПТ;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 xml:space="preserve">регулярное проведение </w:t>
      </w:r>
      <w:proofErr w:type="spellStart"/>
      <w:r w:rsidRPr="00896A54">
        <w:rPr>
          <w:rFonts w:ascii="Times New Roman" w:hAnsi="Times New Roman" w:cs="Times New Roman"/>
          <w:sz w:val="24"/>
          <w:szCs w:val="24"/>
        </w:rPr>
        <w:t>анкетирований</w:t>
      </w:r>
      <w:proofErr w:type="spellEnd"/>
      <w:r w:rsidRPr="00896A54">
        <w:rPr>
          <w:rFonts w:ascii="Times New Roman" w:hAnsi="Times New Roman" w:cs="Times New Roman"/>
          <w:sz w:val="24"/>
          <w:szCs w:val="24"/>
        </w:rPr>
        <w:t xml:space="preserve"> и социологических исследований, касающихся эколого-просветительской деятельности ФГБУ ООПТ, различных целевых групп.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7.4. В целях осуществления комплексной оценки эффективности эколого-просветительской деятельности рекомендуется использовать форматы анкетирования и социологических опросов, социологических исследований, в том числе с использованием информационно-коммуникационной сети Интернет.</w:t>
      </w: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635"/>
        <w:gridCol w:w="113"/>
      </w:tblGrid>
      <w:tr w:rsidR="00896A54" w:rsidRPr="00896A54" w:rsidTr="003F0E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96A54" w:rsidRPr="00896A54" w:rsidRDefault="00896A54" w:rsidP="003F0E5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6A54" w:rsidRPr="00896A54" w:rsidRDefault="00896A54" w:rsidP="003F0E5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proofErr w:type="spellStart"/>
            <w:r w:rsidRPr="00896A54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896A54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: примечание.</w:t>
            </w:r>
          </w:p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Нумерация разделов дана в соответствии с официальным текстом документа.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896A54" w:rsidRPr="00896A54" w:rsidRDefault="00896A54" w:rsidP="00896A54">
      <w:pPr>
        <w:pStyle w:val="ConsPlusNormal"/>
        <w:spacing w:before="200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IX. Финансирование эколого-просветительской деятельности на особо охраняемых природных территориях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8.1. Финансирование эколого-просветительской деятельности ФГБУ ООПТ осуществляется за счет средств, выделяемых в установленном порядке из федерального бюджета, бюджетов иных уровней, а также внебюджетных источников и средств, полученных в виде благотворительной помощи.</w:t>
      </w: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Приложение</w:t>
      </w:r>
    </w:p>
    <w:p w:rsidR="00896A54" w:rsidRPr="00896A54" w:rsidRDefault="00896A54" w:rsidP="00896A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Par311"/>
      <w:bookmarkEnd w:id="3"/>
      <w:r w:rsidRPr="00896A54">
        <w:rPr>
          <w:rFonts w:ascii="Times New Roman" w:hAnsi="Times New Roman" w:cs="Times New Roman"/>
          <w:b/>
          <w:bCs/>
          <w:sz w:val="24"/>
          <w:szCs w:val="24"/>
        </w:rPr>
        <w:t>РЕКОМЕНДАЦИИ</w:t>
      </w:r>
    </w:p>
    <w:p w:rsidR="00896A54" w:rsidRPr="00896A54" w:rsidRDefault="00896A54" w:rsidP="00896A5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ПО СОСТАВЛЕНИЮ КОМПЛЕКСНОЙ ПРОГРАММЫ</w:t>
      </w:r>
    </w:p>
    <w:p w:rsidR="00896A54" w:rsidRPr="00896A54" w:rsidRDefault="00896A54" w:rsidP="00896A5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ЭКОЛОГО-ПРОСВЕТИТЕЛЬСКОЙ ДЕЯТЕЛЬНОСТИ</w:t>
      </w: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При составлении комплексной экологической программы рекомендуется учитывать следующие факторы: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возрастную и социальную характеристики целевых групп;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цели и задачи эколого-просветительской деятельности;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формы, методы и инструменты достижения целей и задач;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lastRenderedPageBreak/>
        <w:t>сроки, ресурсы и место реализации;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количество и степень участия партнерских организаций, общественных объединений из числа местного населения;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степень участия в реализации программы других структурных подразделений учреждения, осуществляющего управление особо охраняемой природной территорией;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географические, климатические и иные особенности особо охраняемой природной территории.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В основе составления комплексной программы лежит системный подход к эколого-просветительской деятельности и методика программно-целевого планирования. Сущность программно-целевого метода планирования заключается в определении основных результатов деятельности, разработке комплекса мероприятий и способов достижения промежуточных целей в намеченные сроки и обеспечение ресурсами с учетом эффективного их использования.</w:t>
      </w: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Пример составления комплексной программы</w:t>
      </w:r>
    </w:p>
    <w:p w:rsidR="00896A54" w:rsidRPr="00896A54" w:rsidRDefault="00896A54" w:rsidP="00896A5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A54">
        <w:rPr>
          <w:rFonts w:ascii="Times New Roman" w:hAnsi="Times New Roman" w:cs="Times New Roman"/>
          <w:b/>
          <w:bCs/>
          <w:sz w:val="24"/>
          <w:szCs w:val="24"/>
        </w:rPr>
        <w:t>эколого-просветительской деятельности:</w:t>
      </w: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3"/>
        <w:gridCol w:w="3118"/>
      </w:tblGrid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программы/партнеры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и показатели программы </w:t>
            </w:r>
            <w:hyperlink w:anchor="Par356" w:history="1">
              <w:r w:rsidRPr="00896A5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Целевые группы, на которые направлена программа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реализации программы (форматы, методы, инструменты) </w:t>
            </w:r>
            <w:hyperlink w:anchor="Par357" w:history="1">
              <w:r w:rsidRPr="00896A5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Мероприятия, реализуемые в рамках программы (перечислить со сроками проведения)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хода реализации программы и каждого из мероприятий в рамках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 (создание различной методической продукции (буклеты, листовки, сборники), направленной на поддержку реализации программы и тиражирование опыта ее выполнения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54" w:rsidRPr="00896A54" w:rsidTr="003F0E5B"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A54">
              <w:rPr>
                <w:rFonts w:ascii="Times New Roman" w:hAnsi="Times New Roman" w:cs="Times New Roman"/>
                <w:sz w:val="24"/>
                <w:szCs w:val="24"/>
              </w:rPr>
              <w:t>Объемы субсидий на выполнение государственного задания учреждения,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54" w:rsidRPr="00896A54" w:rsidRDefault="00896A54" w:rsidP="003F0E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356"/>
      <w:bookmarkEnd w:id="4"/>
      <w:r w:rsidRPr="00896A54">
        <w:rPr>
          <w:rFonts w:ascii="Times New Roman" w:hAnsi="Times New Roman" w:cs="Times New Roman"/>
          <w:sz w:val="24"/>
          <w:szCs w:val="24"/>
        </w:rPr>
        <w:t>&lt;*&gt; Под целевыми индикаторами и показателями программы понимаются контрольные точки достижения целей программы.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357"/>
      <w:bookmarkEnd w:id="5"/>
      <w:r w:rsidRPr="00896A54">
        <w:rPr>
          <w:rFonts w:ascii="Times New Roman" w:hAnsi="Times New Roman" w:cs="Times New Roman"/>
          <w:sz w:val="24"/>
          <w:szCs w:val="24"/>
        </w:rPr>
        <w:lastRenderedPageBreak/>
        <w:t>&lt;**&gt; Метод - систематизированная совокупность шагов и действий, осуществляемая для решения определенной задачи или достижения определенной цели (лекции, беседы, игры);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инструмент - средство воздействия на объект (выставки, видеофильмы, презентации, публикации);</w:t>
      </w:r>
    </w:p>
    <w:p w:rsidR="00896A54" w:rsidRPr="00896A54" w:rsidRDefault="00896A54" w:rsidP="00896A54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6A54">
        <w:rPr>
          <w:rFonts w:ascii="Times New Roman" w:hAnsi="Times New Roman" w:cs="Times New Roman"/>
          <w:sz w:val="24"/>
          <w:szCs w:val="24"/>
        </w:rPr>
        <w:t>формат - характер организации эколого-просветительской деятельности (очный, виртуальный, индивидуальный, групповой).</w:t>
      </w: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A54" w:rsidRPr="00896A54" w:rsidRDefault="00896A54" w:rsidP="00896A5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AD5F1E" w:rsidRPr="00896A54" w:rsidRDefault="00AD5F1E">
      <w:pPr>
        <w:rPr>
          <w:rFonts w:ascii="Times New Roman" w:hAnsi="Times New Roman" w:cs="Times New Roman"/>
          <w:sz w:val="24"/>
          <w:szCs w:val="24"/>
        </w:rPr>
      </w:pPr>
    </w:p>
    <w:sectPr w:rsidR="00AD5F1E" w:rsidRPr="00896A54" w:rsidSect="00896A54">
      <w:pgSz w:w="11906" w:h="16838"/>
      <w:pgMar w:top="851" w:right="567" w:bottom="851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422"/>
    <w:multiLevelType w:val="hybridMultilevel"/>
    <w:tmpl w:val="B1A495E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4984AA8"/>
    <w:multiLevelType w:val="multilevel"/>
    <w:tmpl w:val="E13A14B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69D27374"/>
    <w:multiLevelType w:val="hybridMultilevel"/>
    <w:tmpl w:val="01E2AC14"/>
    <w:lvl w:ilvl="0" w:tplc="F2C4122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A54"/>
    <w:rsid w:val="004A76FC"/>
    <w:rsid w:val="005424AB"/>
    <w:rsid w:val="00733085"/>
    <w:rsid w:val="007927A5"/>
    <w:rsid w:val="00840E2F"/>
    <w:rsid w:val="00896A54"/>
    <w:rsid w:val="00AC7D28"/>
    <w:rsid w:val="00AD5F1E"/>
    <w:rsid w:val="00F868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A54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6A54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F86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A54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6A54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F86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B873AEF931CCD26B7E46B18A81F180683AC1FEE0C639E9E6D325B3DB0DDF093340ECA5E2C920975DDD91DBnCvE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2B873AEF931CCD26B7E5BBF8681F1806839C1FDE2CC64E3EE8A29B1DC02800C3451ECA4E0D720954AD4C5888928F04AD22C387D4403DB0EnFv7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2B873AEF931CCD26B7E5BBF8681F1806930C7FCE6CD64E3EE8A29B1DC02800C2651B4A8E0D53E9541C193D9CFn7vEI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2B873AEF931CCD26B7E45A49381F1806E3BC7F0E4CD64E3EE8A29B1DC02800C3451ECA4E0D720954AD4C5888928F04AD22C387D4403DB0EnFv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B873AEF931CCD26B7E5BBF8681F1806E3AC8FDE5CA64E3EE8A29B1DC02800C2651B4A8E0D53E9541C193D9CFn7v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16</Pages>
  <Words>6374</Words>
  <Characters>36335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Протасова Анастасия</dc:creator>
  <cp:lastModifiedBy>Протасова Анастасия</cp:lastModifiedBy>
  <cp:revision>1</cp:revision>
  <dcterms:created xsi:type="dcterms:W3CDTF">2023-02-02T08:51:00Z</dcterms:created>
  <dcterms:modified xsi:type="dcterms:W3CDTF">2023-02-02T13:27:00Z</dcterms:modified>
</cp:coreProperties>
</file>